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0" w:rsidRPr="005E0FF0" w:rsidRDefault="005E0FF0" w:rsidP="005E0FF0">
      <w:pPr>
        <w:jc w:val="center"/>
        <w:rPr>
          <w:b/>
          <w:u w:val="single"/>
        </w:rPr>
      </w:pPr>
      <w:r w:rsidRPr="005E0FF0">
        <w:rPr>
          <w:b/>
          <w:u w:val="single"/>
        </w:rPr>
        <w:t>NEW YORK LIQUOR TRANSPORTER BOND</w:t>
      </w:r>
    </w:p>
    <w:p w:rsidR="005E0FF0" w:rsidRPr="005E0FF0" w:rsidRDefault="005E0FF0">
      <w:pPr>
        <w:rPr>
          <w:rFonts w:cstheme="minorHAnsi"/>
        </w:rPr>
      </w:pPr>
      <w:r w:rsidRPr="005E0FF0">
        <w:rPr>
          <w:rFonts w:cstheme="minorHAnsi"/>
          <w:color w:val="000000"/>
        </w:rPr>
        <w:t xml:space="preserve">If you are engaged as a Liquor Transporter in the State of New York, you are required by the New York State Liquor Authority to execute a </w:t>
      </w:r>
      <w:bookmarkStart w:id="0" w:name="_GoBack"/>
      <w:r w:rsidRPr="005E0FF0">
        <w:rPr>
          <w:rFonts w:cstheme="minorHAnsi"/>
          <w:bCs/>
          <w:color w:val="000000"/>
        </w:rPr>
        <w:t>New York Liquor Transporter Bond</w:t>
      </w:r>
      <w:r w:rsidRPr="005E0FF0">
        <w:rPr>
          <w:rFonts w:cstheme="minorHAnsi"/>
          <w:color w:val="000000"/>
        </w:rPr>
        <w:t xml:space="preserve"> </w:t>
      </w:r>
      <w:bookmarkEnd w:id="0"/>
      <w:r w:rsidRPr="005E0FF0">
        <w:rPr>
          <w:rFonts w:cstheme="minorHAnsi"/>
          <w:color w:val="000000"/>
        </w:rPr>
        <w:t>to ensure compliance with Section 94 of the A.B.C. Laws of New York</w:t>
      </w:r>
    </w:p>
    <w:sectPr w:rsidR="005E0FF0" w:rsidRPr="005E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0"/>
    <w:rsid w:val="005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2012-04-04T14:47:00Z</dcterms:created>
  <dcterms:modified xsi:type="dcterms:W3CDTF">2012-04-04T14:53:00Z</dcterms:modified>
</cp:coreProperties>
</file>